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715F" w:rsidRPr="0057715F" w:rsidRDefault="0057715F" w:rsidP="0057715F">
      <w:pPr>
        <w:jc w:val="center"/>
        <w:rPr>
          <w:rFonts w:ascii="Arial, sans-serif" w:eastAsia="Arial, sans-serif" w:hAnsi="Arial, sans-serif" w:cs="Arial, sans-serif"/>
          <w:b/>
          <w:bCs/>
          <w:sz w:val="24"/>
          <w:szCs w:val="24"/>
        </w:rPr>
      </w:pPr>
      <w:r w:rsidRPr="0057715F">
        <w:rPr>
          <w:rFonts w:ascii="Arial, sans-serif" w:eastAsia="Arial, sans-serif" w:hAnsi="Arial, sans-serif" w:cs="Arial, sans-serif"/>
          <w:b/>
          <w:bCs/>
          <w:sz w:val="24"/>
          <w:szCs w:val="24"/>
        </w:rPr>
        <w:t>2024-2025 School Supply Lists</w:t>
      </w:r>
    </w:p>
    <w:p w:rsidR="0057715F" w:rsidRPr="0057715F" w:rsidRDefault="0057715F" w:rsidP="0057715F">
      <w:pPr>
        <w:spacing w:line="276" w:lineRule="auto"/>
        <w:jc w:val="center"/>
        <w:rPr>
          <w:rFonts w:ascii="Arial, sans-serif" w:eastAsia="Arial, sans-serif" w:hAnsi="Arial, sans-serif" w:cs="Arial, sans-serif"/>
          <w:sz w:val="24"/>
          <w:szCs w:val="24"/>
        </w:rPr>
      </w:pPr>
    </w:p>
    <w:p w:rsidR="007B2566" w:rsidRDefault="00000000" w:rsidP="0057715F">
      <w:pPr>
        <w:spacing w:line="276" w:lineRule="auto"/>
      </w:pPr>
      <w:r>
        <w:rPr>
          <w:rFonts w:ascii="Arial, sans-serif" w:eastAsia="Arial, sans-serif" w:hAnsi="Arial, sans-serif" w:cs="Arial, sans-serif"/>
          <w:b/>
          <w:bCs/>
          <w:sz w:val="24"/>
          <w:szCs w:val="24"/>
        </w:rPr>
        <w:t xml:space="preserve">Kindergarten Supply List </w:t>
      </w:r>
      <w:r>
        <w:rPr>
          <w:rFonts w:ascii="Arial, sans-serif" w:eastAsia="Arial, sans-serif" w:hAnsi="Arial, sans-serif" w:cs="Arial, sans-serif"/>
          <w:sz w:val="24"/>
          <w:szCs w:val="24"/>
        </w:rPr>
        <w:t xml:space="preserve">(Mrs. </w:t>
      </w:r>
      <w:proofErr w:type="spellStart"/>
      <w:r>
        <w:rPr>
          <w:rFonts w:ascii="Arial, sans-serif" w:eastAsia="Arial, sans-serif" w:hAnsi="Arial, sans-serif" w:cs="Arial, sans-serif"/>
          <w:sz w:val="24"/>
          <w:szCs w:val="24"/>
        </w:rPr>
        <w:t>Fioravanti</w:t>
      </w:r>
      <w:proofErr w:type="spellEnd"/>
      <w:r>
        <w:rPr>
          <w:rFonts w:ascii="Arial, sans-serif" w:eastAsia="Arial, sans-serif" w:hAnsi="Arial, sans-serif" w:cs="Arial, sans-serif"/>
          <w:sz w:val="24"/>
          <w:szCs w:val="24"/>
        </w:rPr>
        <w:t>: marcie.fioravanti@bonnerclassicalacademy.com)</w:t>
      </w:r>
    </w:p>
    <w:p w:rsidR="0057715F" w:rsidRDefault="0057715F" w:rsidP="0057715F">
      <w:pPr>
        <w:spacing w:line="276" w:lineRule="auto"/>
        <w:rPr>
          <w:rFonts w:ascii="Arial, sans-serif" w:eastAsia="Arial, sans-serif" w:hAnsi="Arial, sans-serif" w:cs="Arial, sans-serif"/>
          <w:sz w:val="24"/>
          <w:szCs w:val="24"/>
        </w:rPr>
      </w:pPr>
    </w:p>
    <w:p w:rsidR="007B2566" w:rsidRDefault="00000000" w:rsidP="0057715F">
      <w:pPr>
        <w:spacing w:line="276" w:lineRule="auto"/>
      </w:pPr>
      <w:r>
        <w:rPr>
          <w:rFonts w:ascii="Arial, sans-serif" w:eastAsia="Arial, sans-serif" w:hAnsi="Arial, sans-serif" w:cs="Arial, sans-serif"/>
          <w:sz w:val="24"/>
          <w:szCs w:val="24"/>
        </w:rPr>
        <w:t xml:space="preserve">*Please no special crayons, markers, pencils, glue sticks (scented, glitter, </w:t>
      </w:r>
      <w:proofErr w:type="spellStart"/>
      <w:r>
        <w:rPr>
          <w:rFonts w:ascii="Arial, sans-serif" w:eastAsia="Arial, sans-serif" w:hAnsi="Arial, sans-serif" w:cs="Arial, sans-serif"/>
          <w:sz w:val="24"/>
          <w:szCs w:val="24"/>
        </w:rPr>
        <w:t>etc</w:t>
      </w:r>
      <w:proofErr w:type="spellEnd"/>
      <w:r>
        <w:rPr>
          <w:rFonts w:ascii="Arial, sans-serif" w:eastAsia="Arial, sans-serif" w:hAnsi="Arial, sans-serif" w:cs="Arial, sans-serif"/>
          <w:sz w:val="24"/>
          <w:szCs w:val="24"/>
        </w:rPr>
        <w:t>)</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2- 24-count boxes crayons</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3-12-count boxes markers – washable, assorted colors, wide tip</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2-12-count colored pencils – 7”, sharpened</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year supply high quality, No. 2, six-sided pencils – sharpened</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quality handheld pencil sharpener</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plastic pencil box</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pencil bag – 3-hole, 10”x7”, mesh front</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2 pink erasers – large, latex free</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 xml:space="preserve">Practice paper </w:t>
      </w:r>
      <w:r w:rsidR="0057715F">
        <w:rPr>
          <w:rFonts w:ascii="Arial, sans-serif" w:eastAsia="Arial, sans-serif" w:hAnsi="Arial, sans-serif" w:cs="Arial, sans-serif"/>
          <w:sz w:val="24"/>
          <w:szCs w:val="24"/>
        </w:rPr>
        <w:t>–</w:t>
      </w:r>
      <w:r w:rsidRPr="0057715F">
        <w:rPr>
          <w:rFonts w:ascii="Arial, sans-serif" w:eastAsia="Arial, sans-serif" w:hAnsi="Arial, sans-serif" w:cs="Arial, sans-serif"/>
          <w:sz w:val="24"/>
          <w:szCs w:val="24"/>
        </w:rPr>
        <w:t xml:space="preserve"> 1⁄</w:t>
      </w:r>
      <w:proofErr w:type="gramStart"/>
      <w:r w:rsidRPr="0057715F">
        <w:rPr>
          <w:rFonts w:ascii="Arial, sans-serif" w:eastAsia="Arial, sans-serif" w:hAnsi="Arial, sans-serif" w:cs="Arial, sans-serif"/>
          <w:sz w:val="24"/>
          <w:szCs w:val="24"/>
        </w:rPr>
        <w:t>2 inch</w:t>
      </w:r>
      <w:proofErr w:type="gramEnd"/>
      <w:r w:rsidRPr="0057715F">
        <w:rPr>
          <w:rFonts w:ascii="Arial, sans-serif" w:eastAsia="Arial, sans-serif" w:hAnsi="Arial, sans-serif" w:cs="Arial, sans-serif"/>
          <w:sz w:val="24"/>
          <w:szCs w:val="24"/>
        </w:rPr>
        <w:t xml:space="preserve"> rule (measures 1⁄2 inch from top baseline to bottom baseline with a middle-dotted line), landscape orientation</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Mead primary journal – ½ page ruled</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 xml:space="preserve">1 red folder – 2 pockets </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blue folder – 2 pockets</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yellow folder – 2 pockets</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black folder – 2 pockets</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white 3-ring binder</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glue bottle – washable, 4oz</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4 glue sticks, washable, all purpose</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pair of scissors – 5”, blunt tip</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4 dry erase markers – fine tip, low odor, black</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watercolor paint set – washable, with brush</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2 packs of baby wipes -unscented</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4 boxes of tissues</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2 packages disinfecting wipes</w:t>
      </w:r>
    </w:p>
    <w:p w:rsidR="007B2566" w:rsidRDefault="00000000" w:rsidP="0057715F">
      <w:pPr>
        <w:pStyle w:val="ListParagraph"/>
        <w:numPr>
          <w:ilvl w:val="0"/>
          <w:numId w:val="2"/>
        </w:numPr>
        <w:spacing w:line="276" w:lineRule="auto"/>
      </w:pPr>
      <w:r w:rsidRPr="0057715F">
        <w:rPr>
          <w:rFonts w:ascii="Arial, sans-serif" w:eastAsia="Arial, sans-serif" w:hAnsi="Arial, sans-serif" w:cs="Arial, sans-serif"/>
          <w:sz w:val="24"/>
          <w:szCs w:val="24"/>
        </w:rPr>
        <w:t>1 bottle of hand sanitizer with pump</w:t>
      </w:r>
    </w:p>
    <w:p w:rsidR="0057715F" w:rsidRDefault="0057715F" w:rsidP="0057715F">
      <w:pPr>
        <w:spacing w:line="276" w:lineRule="auto"/>
        <w:rPr>
          <w:rFonts w:ascii="Arial, sans-serif" w:eastAsia="Arial, sans-serif" w:hAnsi="Arial, sans-serif" w:cs="Arial, sans-serif"/>
          <w:sz w:val="24"/>
          <w:szCs w:val="24"/>
        </w:rPr>
      </w:pPr>
    </w:p>
    <w:p w:rsidR="007B2566" w:rsidRDefault="00000000" w:rsidP="0057715F">
      <w:pPr>
        <w:spacing w:line="276" w:lineRule="auto"/>
      </w:pPr>
      <w:r>
        <w:rPr>
          <w:rFonts w:ascii="Arial, sans-serif" w:eastAsia="Arial, sans-serif" w:hAnsi="Arial, sans-serif" w:cs="Arial, sans-serif"/>
          <w:sz w:val="24"/>
          <w:szCs w:val="24"/>
        </w:rPr>
        <w:t>Each student should bring a labeled water bottle and a lunch box container to school each day in their backpacks. The water bottles and lunch boxes will be kept inside the classroom so students can easily access drinking bottles and snacks at appointed times.</w:t>
      </w:r>
    </w:p>
    <w:p w:rsidR="007B2566" w:rsidRDefault="007B2566" w:rsidP="0057715F">
      <w:pPr>
        <w:spacing w:line="276" w:lineRule="auto"/>
      </w:pPr>
    </w:p>
    <w:p w:rsidR="007B2566" w:rsidRDefault="00000000" w:rsidP="0057715F">
      <w:pPr>
        <w:spacing w:line="276" w:lineRule="auto"/>
      </w:pPr>
      <w:r>
        <w:rPr>
          <w:rFonts w:ascii="Arial, sans-serif" w:eastAsia="Arial, sans-serif" w:hAnsi="Arial, sans-serif" w:cs="Arial, sans-serif"/>
          <w:b/>
          <w:bCs/>
          <w:sz w:val="24"/>
          <w:szCs w:val="24"/>
        </w:rPr>
        <w:t xml:space="preserve">G1 Supply List </w:t>
      </w:r>
      <w:r>
        <w:rPr>
          <w:rFonts w:ascii="Arial, sans-serif" w:eastAsia="Arial, sans-serif" w:hAnsi="Arial, sans-serif" w:cs="Arial, sans-serif"/>
          <w:sz w:val="24"/>
          <w:szCs w:val="24"/>
        </w:rPr>
        <w:t>(Mrs. Ealy: charlene.ealy@bonnerclassicalacademy.com; TA Ms. Herndon: hannah.herndon@bonnerclassicalacademy.com)</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Sharpened #2 yellow pencils</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Primary Journal, no composition journals</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lastRenderedPageBreak/>
        <w:t xml:space="preserve">Take home book pouch OR 1 </w:t>
      </w:r>
      <w:proofErr w:type="spellStart"/>
      <w:r w:rsidRPr="006008B7">
        <w:rPr>
          <w:rFonts w:ascii="Arial" w:hAnsi="Arial" w:cs="Arial"/>
          <w:color w:val="000000"/>
          <w:sz w:val="24"/>
          <w:szCs w:val="24"/>
        </w:rPr>
        <w:t>extra large</w:t>
      </w:r>
      <w:proofErr w:type="spellEnd"/>
      <w:r w:rsidRPr="006008B7">
        <w:rPr>
          <w:rFonts w:ascii="Arial" w:hAnsi="Arial" w:cs="Arial"/>
          <w:color w:val="000000"/>
          <w:sz w:val="24"/>
          <w:szCs w:val="24"/>
        </w:rPr>
        <w:t xml:space="preserve"> </w:t>
      </w:r>
      <w:proofErr w:type="spellStart"/>
      <w:r w:rsidRPr="006008B7">
        <w:rPr>
          <w:rFonts w:ascii="Arial" w:hAnsi="Arial" w:cs="Arial"/>
          <w:color w:val="000000"/>
          <w:sz w:val="24"/>
          <w:szCs w:val="24"/>
        </w:rPr>
        <w:t>ziploc</w:t>
      </w:r>
      <w:proofErr w:type="spellEnd"/>
      <w:r w:rsidRPr="006008B7">
        <w:rPr>
          <w:rFonts w:ascii="Arial" w:hAnsi="Arial" w:cs="Arial"/>
          <w:color w:val="000000"/>
          <w:sz w:val="24"/>
          <w:szCs w:val="24"/>
        </w:rPr>
        <w:t xml:space="preserve"> bag</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Fine tip dry erase markers, black</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Paper Mate pink pearl eraser, 2 pack</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shd w:val="clear" w:color="auto" w:fill="FFFF00"/>
        </w:rPr>
        <w:t>1.5in-2in</w:t>
      </w:r>
      <w:r w:rsidRPr="006008B7">
        <w:rPr>
          <w:rFonts w:ascii="Arial" w:hAnsi="Arial" w:cs="Arial"/>
          <w:color w:val="000000"/>
          <w:sz w:val="24"/>
          <w:szCs w:val="24"/>
        </w:rPr>
        <w:t>. 3 ring binder, white</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proofErr w:type="gramStart"/>
      <w:r w:rsidRPr="006008B7">
        <w:rPr>
          <w:rFonts w:ascii="Arial" w:hAnsi="Arial" w:cs="Arial"/>
          <w:color w:val="000000"/>
          <w:sz w:val="24"/>
          <w:szCs w:val="24"/>
        </w:rPr>
        <w:t>3 hole</w:t>
      </w:r>
      <w:proofErr w:type="gramEnd"/>
      <w:r w:rsidRPr="006008B7">
        <w:rPr>
          <w:rFonts w:ascii="Arial" w:hAnsi="Arial" w:cs="Arial"/>
          <w:color w:val="000000"/>
          <w:sz w:val="24"/>
          <w:szCs w:val="24"/>
        </w:rPr>
        <w:t xml:space="preserve"> punched folders 1 of each color- red, blue, yellow, black</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1 pack Crayola broad line markers, classic</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1 pack Crayola colored pencil set</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shd w:val="clear" w:color="auto" w:fill="FFFF00"/>
        </w:rPr>
        <w:t>1 pack Crayola crayons</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shd w:val="clear" w:color="auto" w:fill="FFFF00"/>
        </w:rPr>
        <w:t>1 watercolor washable paint set</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1 blunt tip scissors</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shd w:val="clear" w:color="auto" w:fill="FFFF00"/>
        </w:rPr>
        <w:t>Handheld pencil sharpener</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Pencil box</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pencil pouch- 3 hole</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Glue sticks</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White glue</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Hand sanitizer</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1 package baby wipes or preferred hand wipe</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1 container Clorox wipes or preferred disinfectant wipe/spray</w:t>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rPr>
        <w:t>2 boxes of tissues</w:t>
      </w:r>
      <w:r w:rsidRPr="006008B7">
        <w:rPr>
          <w:rFonts w:ascii="Arial" w:hAnsi="Arial" w:cs="Arial"/>
          <w:color w:val="000000"/>
          <w:sz w:val="22"/>
          <w:szCs w:val="22"/>
        </w:rPr>
        <w:br/>
      </w:r>
    </w:p>
    <w:p w:rsidR="006008B7" w:rsidRPr="006008B7" w:rsidRDefault="006008B7" w:rsidP="006008B7">
      <w:pPr>
        <w:pStyle w:val="ListParagraph"/>
        <w:numPr>
          <w:ilvl w:val="0"/>
          <w:numId w:val="5"/>
        </w:numPr>
        <w:spacing w:line="276" w:lineRule="auto"/>
        <w:rPr>
          <w:rFonts w:ascii="Arial" w:hAnsi="Arial" w:cs="Arial"/>
          <w:color w:val="000000"/>
          <w:sz w:val="22"/>
          <w:szCs w:val="22"/>
        </w:rPr>
      </w:pPr>
      <w:r w:rsidRPr="006008B7">
        <w:rPr>
          <w:rFonts w:ascii="Arial" w:hAnsi="Arial" w:cs="Arial"/>
          <w:color w:val="000000"/>
          <w:sz w:val="24"/>
          <w:szCs w:val="24"/>
          <w:shd w:val="clear" w:color="auto" w:fill="FFFF00"/>
        </w:rPr>
        <w:t>REMOVED: command hooks and dry erase pockets</w:t>
      </w:r>
    </w:p>
    <w:p w:rsidR="006008B7" w:rsidRPr="006008B7" w:rsidRDefault="006008B7" w:rsidP="006008B7">
      <w:pPr>
        <w:rPr>
          <w:sz w:val="24"/>
          <w:szCs w:val="24"/>
        </w:rPr>
      </w:pPr>
    </w:p>
    <w:p w:rsidR="0057715F" w:rsidRDefault="0057715F" w:rsidP="0057715F">
      <w:pPr>
        <w:spacing w:line="276" w:lineRule="auto"/>
        <w:rPr>
          <w:rFonts w:ascii="Arial, sans-serif" w:eastAsia="Arial, sans-serif" w:hAnsi="Arial, sans-serif" w:cs="Arial, sans-serif"/>
          <w:sz w:val="24"/>
          <w:szCs w:val="24"/>
        </w:rPr>
      </w:pPr>
    </w:p>
    <w:p w:rsidR="007B2566" w:rsidRDefault="00000000" w:rsidP="0057715F">
      <w:pPr>
        <w:spacing w:line="276" w:lineRule="auto"/>
      </w:pPr>
      <w:r>
        <w:rPr>
          <w:rFonts w:ascii="Arial, sans-serif" w:eastAsia="Arial, sans-serif" w:hAnsi="Arial, sans-serif" w:cs="Arial, sans-serif"/>
          <w:sz w:val="24"/>
          <w:szCs w:val="24"/>
        </w:rPr>
        <w:t>Each student should bring a labeled water bottle and a lunch box container to school each day in their backpacks. The water bottles and lunch boxes will be kept inside the classroom so students can easily access drinking bottles and snacks at appointed times.</w:t>
      </w:r>
    </w:p>
    <w:p w:rsidR="007B2566" w:rsidRDefault="007B2566" w:rsidP="0057715F">
      <w:pPr>
        <w:spacing w:line="276" w:lineRule="auto"/>
      </w:pPr>
    </w:p>
    <w:p w:rsidR="007B2566" w:rsidRDefault="00000000" w:rsidP="0057715F">
      <w:pPr>
        <w:spacing w:line="276" w:lineRule="auto"/>
      </w:pPr>
      <w:r>
        <w:rPr>
          <w:rFonts w:ascii="Arial, sans-serif" w:eastAsia="Arial, sans-serif" w:hAnsi="Arial, sans-serif" w:cs="Arial, sans-serif"/>
          <w:b/>
          <w:bCs/>
          <w:sz w:val="24"/>
          <w:szCs w:val="24"/>
        </w:rPr>
        <w:t xml:space="preserve">G2 Supply List </w:t>
      </w:r>
      <w:r>
        <w:rPr>
          <w:rFonts w:ascii="Arial, sans-serif" w:eastAsia="Arial, sans-serif" w:hAnsi="Arial, sans-serif" w:cs="Arial, sans-serif"/>
          <w:sz w:val="24"/>
          <w:szCs w:val="24"/>
        </w:rPr>
        <w:t xml:space="preserve">(English Language Arts: Mrs. White - heather.white@bonnerclassicalacademy.com; Humanities: Ms. Herndon - hannah.herndon@bonnerclassicalacademy.com; Math: Mrs. Converse - devyn.converse@bonnerclassicalacademy.com; Science and Mechanical Arts: Mr. </w:t>
      </w:r>
      <w:proofErr w:type="spellStart"/>
      <w:r>
        <w:rPr>
          <w:rFonts w:ascii="Arial, sans-serif" w:eastAsia="Arial, sans-serif" w:hAnsi="Arial, sans-serif" w:cs="Arial, sans-serif"/>
          <w:sz w:val="24"/>
          <w:szCs w:val="24"/>
        </w:rPr>
        <w:t>Cupples</w:t>
      </w:r>
      <w:proofErr w:type="spellEnd"/>
      <w:r>
        <w:rPr>
          <w:rFonts w:ascii="Arial, sans-serif" w:eastAsia="Arial, sans-serif" w:hAnsi="Arial, sans-serif" w:cs="Arial, sans-serif"/>
          <w:sz w:val="24"/>
          <w:szCs w:val="24"/>
        </w:rPr>
        <w:t xml:space="preserve"> - mike.cupples@bonnerclassicalacademy.com)</w:t>
      </w:r>
    </w:p>
    <w:p w:rsidR="0057715F" w:rsidRDefault="0057715F" w:rsidP="0057715F">
      <w:pPr>
        <w:spacing w:line="276" w:lineRule="auto"/>
        <w:rPr>
          <w:rFonts w:ascii="Arial, sans-serif" w:eastAsia="Arial, sans-serif" w:hAnsi="Arial, sans-serif" w:cs="Arial, sans-serif"/>
          <w:sz w:val="24"/>
          <w:szCs w:val="24"/>
        </w:rPr>
      </w:pP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pencil sharpener</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box crayons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box markers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 xml:space="preserve">1 </w:t>
      </w:r>
      <w:proofErr w:type="gramStart"/>
      <w:r w:rsidRPr="0057715F">
        <w:rPr>
          <w:rFonts w:ascii="Arial, sans-serif" w:eastAsia="Arial, sans-serif" w:hAnsi="Arial, sans-serif" w:cs="Arial, sans-serif"/>
          <w:sz w:val="24"/>
          <w:szCs w:val="24"/>
        </w:rPr>
        <w:t>box colored</w:t>
      </w:r>
      <w:proofErr w:type="gramEnd"/>
      <w:r w:rsidRPr="0057715F">
        <w:rPr>
          <w:rFonts w:ascii="Arial, sans-serif" w:eastAsia="Arial, sans-serif" w:hAnsi="Arial, sans-serif" w:cs="Arial, sans-serif"/>
          <w:sz w:val="24"/>
          <w:szCs w:val="24"/>
        </w:rPr>
        <w:t xml:space="preserve"> pencils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year supply high quality, No. 2, six-sided pencils – sharpened</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4 half page ruled primary notebooks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red folder – 2 pockets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lastRenderedPageBreak/>
        <w:t>1 blue folder – 2 pockets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yellow folder – 2 pockets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green folder – 2 pockets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white 3-ring binder</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3 glue sticks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pair scissors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set mini acrylic paint set, primary colors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1 container Clorox wipes or preferred disinfectant wipe/spray</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Tissues</w:t>
      </w:r>
    </w:p>
    <w:p w:rsidR="007B2566" w:rsidRDefault="00000000" w:rsidP="0057715F">
      <w:pPr>
        <w:pStyle w:val="ListParagraph"/>
        <w:numPr>
          <w:ilvl w:val="0"/>
          <w:numId w:val="3"/>
        </w:numPr>
        <w:spacing w:line="276" w:lineRule="auto"/>
      </w:pPr>
      <w:r w:rsidRPr="0057715F">
        <w:rPr>
          <w:rFonts w:ascii="Arial, sans-serif" w:eastAsia="Arial, sans-serif" w:hAnsi="Arial, sans-serif" w:cs="Arial, sans-serif"/>
          <w:sz w:val="24"/>
          <w:szCs w:val="24"/>
        </w:rPr>
        <w:t>Hand sanitizer</w:t>
      </w:r>
    </w:p>
    <w:p w:rsidR="0057715F" w:rsidRDefault="0057715F" w:rsidP="0057715F">
      <w:pPr>
        <w:spacing w:line="276" w:lineRule="auto"/>
        <w:rPr>
          <w:rFonts w:ascii="Arial, sans-serif" w:eastAsia="Arial, sans-serif" w:hAnsi="Arial, sans-serif" w:cs="Arial, sans-serif"/>
          <w:sz w:val="24"/>
          <w:szCs w:val="24"/>
        </w:rPr>
      </w:pPr>
    </w:p>
    <w:p w:rsidR="007B2566" w:rsidRDefault="00000000" w:rsidP="0057715F">
      <w:pPr>
        <w:spacing w:line="276" w:lineRule="auto"/>
      </w:pPr>
      <w:r>
        <w:rPr>
          <w:rFonts w:ascii="Arial, sans-serif" w:eastAsia="Arial, sans-serif" w:hAnsi="Arial, sans-serif" w:cs="Arial, sans-serif"/>
          <w:sz w:val="24"/>
          <w:szCs w:val="24"/>
        </w:rPr>
        <w:t>Each student should bring a labeled water bottle and a lunch box container to school each day in their backpacks. The water bottles and lunch boxes will be kept inside the classroom so students can easily access drinking bottles and snacks at appointed times.</w:t>
      </w:r>
    </w:p>
    <w:p w:rsidR="007B2566" w:rsidRDefault="007B2566" w:rsidP="0057715F">
      <w:pPr>
        <w:spacing w:line="276" w:lineRule="auto"/>
      </w:pPr>
    </w:p>
    <w:p w:rsidR="007B2566" w:rsidRDefault="00000000" w:rsidP="0057715F">
      <w:pPr>
        <w:spacing w:line="276" w:lineRule="auto"/>
      </w:pPr>
      <w:r>
        <w:rPr>
          <w:rFonts w:ascii="Arial, sans-serif" w:eastAsia="Arial, sans-serif" w:hAnsi="Arial, sans-serif" w:cs="Arial, sans-serif"/>
          <w:b/>
          <w:bCs/>
          <w:sz w:val="24"/>
          <w:szCs w:val="24"/>
        </w:rPr>
        <w:t xml:space="preserve">G3-5 Supply List </w:t>
      </w:r>
      <w:r>
        <w:rPr>
          <w:rFonts w:ascii="Arial, sans-serif" w:eastAsia="Arial, sans-serif" w:hAnsi="Arial, sans-serif" w:cs="Arial, sans-serif"/>
          <w:sz w:val="24"/>
          <w:szCs w:val="24"/>
        </w:rPr>
        <w:t xml:space="preserve">(English Language Arts: Mrs. White - heather.white@bonnerclassicalacademy.com; Humanities: Ms. Herndon - hannah.herndon@bonnerclassicalacademy.com; Math: Mrs. Converse - devyn.converse@bonnerclassicalacademy.com; Science and Mechanical Arts: Mr. </w:t>
      </w:r>
      <w:proofErr w:type="spellStart"/>
      <w:r>
        <w:rPr>
          <w:rFonts w:ascii="Arial, sans-serif" w:eastAsia="Arial, sans-serif" w:hAnsi="Arial, sans-serif" w:cs="Arial, sans-serif"/>
          <w:sz w:val="24"/>
          <w:szCs w:val="24"/>
        </w:rPr>
        <w:t>Cupples</w:t>
      </w:r>
      <w:proofErr w:type="spellEnd"/>
      <w:r>
        <w:rPr>
          <w:rFonts w:ascii="Arial, sans-serif" w:eastAsia="Arial, sans-serif" w:hAnsi="Arial, sans-serif" w:cs="Arial, sans-serif"/>
          <w:sz w:val="24"/>
          <w:szCs w:val="24"/>
        </w:rPr>
        <w:t xml:space="preserve"> - mike.cupples@bonnerclassicalacademy.com)</w:t>
      </w:r>
    </w:p>
    <w:p w:rsidR="0057715F" w:rsidRDefault="0057715F" w:rsidP="0057715F">
      <w:pPr>
        <w:spacing w:line="276" w:lineRule="auto"/>
        <w:rPr>
          <w:rFonts w:ascii="Arial, sans-serif" w:eastAsia="Arial, sans-serif" w:hAnsi="Arial, sans-serif" w:cs="Arial, sans-serif"/>
          <w:sz w:val="24"/>
          <w:szCs w:val="24"/>
        </w:rPr>
      </w:pPr>
    </w:p>
    <w:p w:rsidR="007B2566" w:rsidRDefault="00000000" w:rsidP="0057715F">
      <w:pPr>
        <w:spacing w:line="276" w:lineRule="auto"/>
      </w:pPr>
      <w:r>
        <w:rPr>
          <w:rFonts w:ascii="Arial, sans-serif" w:eastAsia="Arial, sans-serif" w:hAnsi="Arial, sans-serif" w:cs="Arial, sans-serif"/>
          <w:sz w:val="24"/>
          <w:szCs w:val="24"/>
        </w:rPr>
        <w:t xml:space="preserve">*No special pencils (scented, glitter, </w:t>
      </w:r>
      <w:proofErr w:type="spellStart"/>
      <w:r>
        <w:rPr>
          <w:rFonts w:ascii="Arial, sans-serif" w:eastAsia="Arial, sans-serif" w:hAnsi="Arial, sans-serif" w:cs="Arial, sans-serif"/>
          <w:sz w:val="24"/>
          <w:szCs w:val="24"/>
        </w:rPr>
        <w:t>etc</w:t>
      </w:r>
      <w:proofErr w:type="spellEnd"/>
      <w:r>
        <w:rPr>
          <w:rFonts w:ascii="Arial, sans-serif" w:eastAsia="Arial, sans-serif" w:hAnsi="Arial, sans-serif" w:cs="Arial, sans-serif"/>
          <w:sz w:val="24"/>
          <w:szCs w:val="24"/>
        </w:rPr>
        <w:t>)</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 xml:space="preserve">1 </w:t>
      </w:r>
      <w:proofErr w:type="gramStart"/>
      <w:r w:rsidRPr="0057715F">
        <w:rPr>
          <w:rFonts w:ascii="Arial, sans-serif" w:eastAsia="Arial, sans-serif" w:hAnsi="Arial, sans-serif" w:cs="Arial, sans-serif"/>
          <w:sz w:val="24"/>
          <w:szCs w:val="24"/>
        </w:rPr>
        <w:t>pack colored</w:t>
      </w:r>
      <w:proofErr w:type="gramEnd"/>
      <w:r w:rsidRPr="0057715F">
        <w:rPr>
          <w:rFonts w:ascii="Arial, sans-serif" w:eastAsia="Arial, sans-serif" w:hAnsi="Arial, sans-serif" w:cs="Arial, sans-serif"/>
          <w:sz w:val="24"/>
          <w:szCs w:val="24"/>
        </w:rPr>
        <w:t xml:space="preserve"> pencils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pack highlighters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year supply dry erase markers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whiteboard eraser</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dry erase sleeve (for putting papers in)</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year supply high quality, No. 2, six-sided pencils – sharpened</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Wide rule loose paper</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3 half page ruled primary notebooks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Drawing pad</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red folder – 2 pockets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blue folder – 2 pockets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yellow folder – 2 pockets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green folder – 2 pockets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white 3-ring binder, 1 inch</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1 container Clorox wipes or preferred disinfectant wipe/spray</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Tissues</w:t>
      </w:r>
    </w:p>
    <w:p w:rsidR="007B2566" w:rsidRDefault="00000000" w:rsidP="0057715F">
      <w:pPr>
        <w:pStyle w:val="ListParagraph"/>
        <w:numPr>
          <w:ilvl w:val="0"/>
          <w:numId w:val="4"/>
        </w:numPr>
        <w:spacing w:line="276" w:lineRule="auto"/>
      </w:pPr>
      <w:r w:rsidRPr="0057715F">
        <w:rPr>
          <w:rFonts w:ascii="Arial, sans-serif" w:eastAsia="Arial, sans-serif" w:hAnsi="Arial, sans-serif" w:cs="Arial, sans-serif"/>
          <w:sz w:val="24"/>
          <w:szCs w:val="24"/>
        </w:rPr>
        <w:t>Hand sanitizer</w:t>
      </w:r>
    </w:p>
    <w:p w:rsidR="0057715F" w:rsidRDefault="0057715F" w:rsidP="0057715F">
      <w:pPr>
        <w:spacing w:line="276" w:lineRule="auto"/>
        <w:rPr>
          <w:rFonts w:ascii="Arial, sans-serif" w:eastAsia="Arial, sans-serif" w:hAnsi="Arial, sans-serif" w:cs="Arial, sans-serif"/>
          <w:sz w:val="24"/>
          <w:szCs w:val="24"/>
        </w:rPr>
      </w:pPr>
    </w:p>
    <w:p w:rsidR="007B2566" w:rsidRDefault="00000000" w:rsidP="0057715F">
      <w:pPr>
        <w:spacing w:line="276" w:lineRule="auto"/>
      </w:pPr>
      <w:r>
        <w:rPr>
          <w:rFonts w:ascii="Arial, sans-serif" w:eastAsia="Arial, sans-serif" w:hAnsi="Arial, sans-serif" w:cs="Arial, sans-serif"/>
          <w:sz w:val="24"/>
          <w:szCs w:val="24"/>
        </w:rPr>
        <w:lastRenderedPageBreak/>
        <w:t>Each student should bring a labeled water bottle and a lunch box container to school each day in their backpacks. The water bottles and lunch boxes will be kept inside the classroom so students can easily access drinking bottles and snacks at appointed times.</w:t>
      </w:r>
    </w:p>
    <w:sectPr w:rsidR="007B2566">
      <w:headerReference w:type="default" r:id="rId7"/>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0A4" w:rsidRDefault="00F610A4" w:rsidP="0057715F">
      <w:r>
        <w:separator/>
      </w:r>
    </w:p>
  </w:endnote>
  <w:endnote w:type="continuationSeparator" w:id="0">
    <w:p w:rsidR="00F610A4" w:rsidRDefault="00F610A4" w:rsidP="0057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0A4" w:rsidRDefault="00F610A4" w:rsidP="0057715F">
      <w:r>
        <w:separator/>
      </w:r>
    </w:p>
  </w:footnote>
  <w:footnote w:type="continuationSeparator" w:id="0">
    <w:p w:rsidR="00F610A4" w:rsidRDefault="00F610A4" w:rsidP="00577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15F" w:rsidRDefault="0057715F" w:rsidP="0057715F">
    <w:pPr>
      <w:pStyle w:val="Header"/>
      <w:jc w:val="center"/>
    </w:pPr>
    <w:r>
      <w:rPr>
        <w:noProof/>
      </w:rPr>
      <w:drawing>
        <wp:inline distT="0" distB="0" distL="0" distR="0">
          <wp:extent cx="1726250" cy="1108503"/>
          <wp:effectExtent l="0" t="0" r="0" b="0"/>
          <wp:docPr id="929308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308933" name="Picture 929308933"/>
                  <pic:cNvPicPr/>
                </pic:nvPicPr>
                <pic:blipFill>
                  <a:blip r:embed="rId1">
                    <a:extLst>
                      <a:ext uri="{28A0092B-C50C-407E-A947-70E740481C1C}">
                        <a14:useLocalDpi xmlns:a14="http://schemas.microsoft.com/office/drawing/2010/main" val="0"/>
                      </a:ext>
                    </a:extLst>
                  </a:blip>
                  <a:stretch>
                    <a:fillRect/>
                  </a:stretch>
                </pic:blipFill>
                <pic:spPr>
                  <a:xfrm>
                    <a:off x="0" y="0"/>
                    <a:ext cx="1746764" cy="1121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6EBA"/>
    <w:multiLevelType w:val="hybridMultilevel"/>
    <w:tmpl w:val="7FE4F6B6"/>
    <w:lvl w:ilvl="0" w:tplc="0D90B62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553ED"/>
    <w:multiLevelType w:val="hybridMultilevel"/>
    <w:tmpl w:val="D88C0C00"/>
    <w:lvl w:ilvl="0" w:tplc="A8C6563C">
      <w:start w:val="1"/>
      <w:numFmt w:val="bullet"/>
      <w:lvlText w:val="●"/>
      <w:lvlJc w:val="left"/>
      <w:pPr>
        <w:ind w:left="720" w:hanging="360"/>
      </w:pPr>
    </w:lvl>
    <w:lvl w:ilvl="1" w:tplc="9F2E4BD2">
      <w:start w:val="1"/>
      <w:numFmt w:val="bullet"/>
      <w:lvlText w:val="○"/>
      <w:lvlJc w:val="left"/>
      <w:pPr>
        <w:ind w:left="1440" w:hanging="360"/>
      </w:pPr>
    </w:lvl>
    <w:lvl w:ilvl="2" w:tplc="4EC202E2">
      <w:start w:val="1"/>
      <w:numFmt w:val="bullet"/>
      <w:lvlText w:val="■"/>
      <w:lvlJc w:val="left"/>
      <w:pPr>
        <w:ind w:left="2160" w:hanging="360"/>
      </w:pPr>
    </w:lvl>
    <w:lvl w:ilvl="3" w:tplc="D042EE2C">
      <w:start w:val="1"/>
      <w:numFmt w:val="bullet"/>
      <w:lvlText w:val="●"/>
      <w:lvlJc w:val="left"/>
      <w:pPr>
        <w:ind w:left="2880" w:hanging="360"/>
      </w:pPr>
    </w:lvl>
    <w:lvl w:ilvl="4" w:tplc="C2386E34">
      <w:start w:val="1"/>
      <w:numFmt w:val="bullet"/>
      <w:lvlText w:val="○"/>
      <w:lvlJc w:val="left"/>
      <w:pPr>
        <w:ind w:left="3600" w:hanging="360"/>
      </w:pPr>
    </w:lvl>
    <w:lvl w:ilvl="5" w:tplc="1F36DD44">
      <w:start w:val="1"/>
      <w:numFmt w:val="bullet"/>
      <w:lvlText w:val="■"/>
      <w:lvlJc w:val="left"/>
      <w:pPr>
        <w:ind w:left="4320" w:hanging="360"/>
      </w:pPr>
    </w:lvl>
    <w:lvl w:ilvl="6" w:tplc="16C0462C">
      <w:start w:val="1"/>
      <w:numFmt w:val="bullet"/>
      <w:lvlText w:val="●"/>
      <w:lvlJc w:val="left"/>
      <w:pPr>
        <w:ind w:left="5040" w:hanging="360"/>
      </w:pPr>
    </w:lvl>
    <w:lvl w:ilvl="7" w:tplc="8EFCEF84">
      <w:start w:val="1"/>
      <w:numFmt w:val="bullet"/>
      <w:lvlText w:val="●"/>
      <w:lvlJc w:val="left"/>
      <w:pPr>
        <w:ind w:left="5760" w:hanging="360"/>
      </w:pPr>
    </w:lvl>
    <w:lvl w:ilvl="8" w:tplc="346471B2">
      <w:start w:val="1"/>
      <w:numFmt w:val="bullet"/>
      <w:lvlText w:val="●"/>
      <w:lvlJc w:val="left"/>
      <w:pPr>
        <w:ind w:left="6480" w:hanging="360"/>
      </w:pPr>
    </w:lvl>
  </w:abstractNum>
  <w:abstractNum w:abstractNumId="2" w15:restartNumberingAfterBreak="0">
    <w:nsid w:val="12DA74C0"/>
    <w:multiLevelType w:val="hybridMultilevel"/>
    <w:tmpl w:val="60CE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E4813"/>
    <w:multiLevelType w:val="hybridMultilevel"/>
    <w:tmpl w:val="932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03E78"/>
    <w:multiLevelType w:val="hybridMultilevel"/>
    <w:tmpl w:val="880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33F4E"/>
    <w:multiLevelType w:val="hybridMultilevel"/>
    <w:tmpl w:val="53E882BA"/>
    <w:lvl w:ilvl="0" w:tplc="00E80C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67F79"/>
    <w:multiLevelType w:val="hybridMultilevel"/>
    <w:tmpl w:val="14A8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B41E4"/>
    <w:multiLevelType w:val="hybridMultilevel"/>
    <w:tmpl w:val="30F46BCE"/>
    <w:lvl w:ilvl="0" w:tplc="56B284F4">
      <w:start w:val="1"/>
      <w:numFmt w:val="decimal"/>
      <w:lvlText w:val="%1."/>
      <w:lvlJc w:val="left"/>
      <w:pPr>
        <w:ind w:left="0" w:hanging="259"/>
      </w:pPr>
    </w:lvl>
    <w:lvl w:ilvl="1" w:tplc="0B78447A">
      <w:start w:val="1"/>
      <w:numFmt w:val="upperLetter"/>
      <w:lvlText w:val="%2."/>
      <w:lvlJc w:val="left"/>
      <w:pPr>
        <w:ind w:left="720" w:hanging="259"/>
      </w:pPr>
    </w:lvl>
    <w:lvl w:ilvl="2" w:tplc="8F1C8FA4">
      <w:start w:val="1"/>
      <w:numFmt w:val="lowerLetter"/>
      <w:lvlText w:val="%3."/>
      <w:lvlJc w:val="left"/>
      <w:pPr>
        <w:ind w:left="1440" w:hanging="259"/>
      </w:pPr>
    </w:lvl>
    <w:lvl w:ilvl="3" w:tplc="F4667A70">
      <w:start w:val="1"/>
      <w:numFmt w:val="upperRoman"/>
      <w:lvlText w:val="%4."/>
      <w:lvlJc w:val="left"/>
      <w:pPr>
        <w:ind w:left="2160" w:hanging="259"/>
      </w:pPr>
    </w:lvl>
    <w:lvl w:ilvl="4" w:tplc="A53C5FDA">
      <w:start w:val="1"/>
      <w:numFmt w:val="lowerRoman"/>
      <w:lvlText w:val="%5."/>
      <w:lvlJc w:val="left"/>
      <w:pPr>
        <w:ind w:left="2880" w:hanging="259"/>
      </w:pPr>
    </w:lvl>
    <w:lvl w:ilvl="5" w:tplc="B142BEFA">
      <w:numFmt w:val="decimal"/>
      <w:lvlText w:val=""/>
      <w:lvlJc w:val="left"/>
    </w:lvl>
    <w:lvl w:ilvl="6" w:tplc="2E18D4E2">
      <w:numFmt w:val="decimal"/>
      <w:lvlText w:val=""/>
      <w:lvlJc w:val="left"/>
    </w:lvl>
    <w:lvl w:ilvl="7" w:tplc="799A68FE">
      <w:numFmt w:val="decimal"/>
      <w:lvlText w:val=""/>
      <w:lvlJc w:val="left"/>
    </w:lvl>
    <w:lvl w:ilvl="8" w:tplc="562672F4">
      <w:numFmt w:val="decimal"/>
      <w:lvlText w:val=""/>
      <w:lvlJc w:val="left"/>
    </w:lvl>
  </w:abstractNum>
  <w:num w:numId="1" w16cid:durableId="332532039">
    <w:abstractNumId w:val="1"/>
    <w:lvlOverride w:ilvl="0">
      <w:startOverride w:val="1"/>
    </w:lvlOverride>
  </w:num>
  <w:num w:numId="2" w16cid:durableId="458691725">
    <w:abstractNumId w:val="2"/>
  </w:num>
  <w:num w:numId="3" w16cid:durableId="1617561320">
    <w:abstractNumId w:val="3"/>
  </w:num>
  <w:num w:numId="4" w16cid:durableId="32853088">
    <w:abstractNumId w:val="6"/>
  </w:num>
  <w:num w:numId="5" w16cid:durableId="30612969">
    <w:abstractNumId w:val="4"/>
  </w:num>
  <w:num w:numId="6" w16cid:durableId="671566712">
    <w:abstractNumId w:val="5"/>
  </w:num>
  <w:num w:numId="7" w16cid:durableId="13307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66"/>
    <w:rsid w:val="00425199"/>
    <w:rsid w:val="0057715F"/>
    <w:rsid w:val="006008B7"/>
    <w:rsid w:val="007B2566"/>
    <w:rsid w:val="00F6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22ED4"/>
  <w15:docId w15:val="{F2FF3B9D-6849-114E-A3DA-30FE1DAC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715F"/>
    <w:pPr>
      <w:tabs>
        <w:tab w:val="center" w:pos="4680"/>
        <w:tab w:val="right" w:pos="9360"/>
      </w:tabs>
    </w:pPr>
  </w:style>
  <w:style w:type="character" w:customStyle="1" w:styleId="HeaderChar">
    <w:name w:val="Header Char"/>
    <w:basedOn w:val="DefaultParagraphFont"/>
    <w:link w:val="Header"/>
    <w:uiPriority w:val="99"/>
    <w:rsid w:val="0057715F"/>
  </w:style>
  <w:style w:type="paragraph" w:styleId="Footer">
    <w:name w:val="footer"/>
    <w:basedOn w:val="Normal"/>
    <w:link w:val="FooterChar"/>
    <w:uiPriority w:val="99"/>
    <w:unhideWhenUsed/>
    <w:rsid w:val="0057715F"/>
    <w:pPr>
      <w:tabs>
        <w:tab w:val="center" w:pos="4680"/>
        <w:tab w:val="right" w:pos="9360"/>
      </w:tabs>
    </w:pPr>
  </w:style>
  <w:style w:type="character" w:customStyle="1" w:styleId="FooterChar">
    <w:name w:val="Footer Char"/>
    <w:basedOn w:val="DefaultParagraphFont"/>
    <w:link w:val="Footer"/>
    <w:uiPriority w:val="99"/>
    <w:rsid w:val="0057715F"/>
  </w:style>
  <w:style w:type="paragraph" w:styleId="NormalWeb">
    <w:name w:val="Normal (Web)"/>
    <w:basedOn w:val="Normal"/>
    <w:uiPriority w:val="99"/>
    <w:semiHidden/>
    <w:unhideWhenUsed/>
    <w:rsid w:val="006008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46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 Drexel</cp:lastModifiedBy>
  <cp:revision>3</cp:revision>
  <dcterms:created xsi:type="dcterms:W3CDTF">2024-08-15T14:01:00Z</dcterms:created>
  <dcterms:modified xsi:type="dcterms:W3CDTF">2024-08-16T13:44:00Z</dcterms:modified>
</cp:coreProperties>
</file>